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801B" w14:textId="2C5CF32D" w:rsidR="00D12639" w:rsidRPr="00D12639" w:rsidRDefault="00D12639" w:rsidP="00D12639">
      <w:pPr>
        <w:jc w:val="right"/>
      </w:pPr>
      <w:r w:rsidRPr="00D12639">
        <w:t xml:space="preserve">Warszawa, </w:t>
      </w:r>
      <w:r w:rsidR="00C23CA1" w:rsidRPr="00C23CA1">
        <w:t>dnia 24 marca 2026 r.</w:t>
      </w:r>
    </w:p>
    <w:p w14:paraId="78A3A734" w14:textId="44D7159A" w:rsidR="002F778D" w:rsidRPr="00E9067D" w:rsidRDefault="002F778D" w:rsidP="00D12639">
      <w:pPr>
        <w:jc w:val="center"/>
        <w:rPr>
          <w:b/>
          <w:bCs/>
          <w:u w:val="single"/>
        </w:rPr>
      </w:pPr>
      <w:r w:rsidRPr="00E9067D">
        <w:rPr>
          <w:b/>
          <w:bCs/>
          <w:u w:val="single"/>
        </w:rPr>
        <w:t>PROTOKÓŁ ROZBIEŻNOŚCI</w:t>
      </w:r>
    </w:p>
    <w:p w14:paraId="17B648E8" w14:textId="638F7E9A" w:rsidR="00D12639" w:rsidRPr="0030076F" w:rsidRDefault="0030076F" w:rsidP="0030076F">
      <w:pPr>
        <w:jc w:val="center"/>
        <w:rPr>
          <w:b/>
          <w:bCs/>
          <w:i/>
          <w:iCs/>
        </w:rPr>
      </w:pPr>
      <w:r w:rsidRPr="0030076F">
        <w:rPr>
          <w:b/>
          <w:bCs/>
          <w:i/>
          <w:iCs/>
        </w:rPr>
        <w:t xml:space="preserve">projektu ustawy o zmianie ustawy o Krajowym Rejestrze Sądowym oraz niektórych innych ustaw </w:t>
      </w:r>
      <w:r w:rsidRPr="000F108B">
        <w:rPr>
          <w:b/>
          <w:bCs/>
        </w:rPr>
        <w:t>(UDER49)</w:t>
      </w:r>
    </w:p>
    <w:tbl>
      <w:tblPr>
        <w:tblStyle w:val="Tabela-Siatka"/>
        <w:tblpPr w:leftFromText="141" w:rightFromText="141" w:vertAnchor="page" w:horzAnchor="margin" w:tblpXSpec="center" w:tblpY="4455"/>
        <w:tblW w:w="12611" w:type="dxa"/>
        <w:tblLook w:val="04A0" w:firstRow="1" w:lastRow="0" w:firstColumn="1" w:lastColumn="0" w:noHBand="0" w:noVBand="1"/>
      </w:tblPr>
      <w:tblGrid>
        <w:gridCol w:w="833"/>
        <w:gridCol w:w="2423"/>
        <w:gridCol w:w="2295"/>
        <w:gridCol w:w="3042"/>
        <w:gridCol w:w="4018"/>
      </w:tblGrid>
      <w:tr w:rsidR="00D12639" w:rsidRPr="00D12639" w14:paraId="53D98EE0" w14:textId="77777777" w:rsidTr="003703D6">
        <w:trPr>
          <w:trHeight w:val="1415"/>
        </w:trPr>
        <w:tc>
          <w:tcPr>
            <w:tcW w:w="833" w:type="dxa"/>
            <w:shd w:val="clear" w:color="auto" w:fill="E8E8E8" w:themeFill="background2"/>
          </w:tcPr>
          <w:p w14:paraId="219EFA50" w14:textId="62D4EADB" w:rsidR="00D12639" w:rsidRPr="00D12639" w:rsidRDefault="00D12639" w:rsidP="00D12639">
            <w:pPr>
              <w:spacing w:after="160" w:line="278" w:lineRule="auto"/>
              <w:jc w:val="center"/>
              <w:rPr>
                <w:b/>
                <w:bCs/>
              </w:rPr>
            </w:pPr>
            <w:r w:rsidRPr="00E41482">
              <w:rPr>
                <w:b/>
                <w:bCs/>
              </w:rPr>
              <w:t>Lp.</w:t>
            </w:r>
          </w:p>
        </w:tc>
        <w:tc>
          <w:tcPr>
            <w:tcW w:w="2423" w:type="dxa"/>
            <w:shd w:val="clear" w:color="auto" w:fill="E8E8E8" w:themeFill="background2"/>
          </w:tcPr>
          <w:p w14:paraId="05B9CAB3" w14:textId="6B35B991" w:rsidR="00D12639" w:rsidRPr="00D12639" w:rsidRDefault="002F778D" w:rsidP="00D12639">
            <w:pPr>
              <w:spacing w:after="160" w:line="278" w:lineRule="auto"/>
              <w:jc w:val="center"/>
            </w:pPr>
            <w:r w:rsidRPr="002F778D">
              <w:rPr>
                <w:b/>
                <w:bCs/>
              </w:rPr>
              <w:t>Autor uwagi</w:t>
            </w:r>
          </w:p>
        </w:tc>
        <w:tc>
          <w:tcPr>
            <w:tcW w:w="2295" w:type="dxa"/>
            <w:shd w:val="clear" w:color="auto" w:fill="E8E8E8" w:themeFill="background2"/>
          </w:tcPr>
          <w:p w14:paraId="43A1D70B" w14:textId="6F559B25" w:rsidR="00D12639" w:rsidRPr="00D12639" w:rsidRDefault="002F778D" w:rsidP="00D12639">
            <w:pPr>
              <w:spacing w:after="160" w:line="278" w:lineRule="auto"/>
              <w:jc w:val="center"/>
              <w:rPr>
                <w:b/>
                <w:bCs/>
              </w:rPr>
            </w:pPr>
            <w:r w:rsidRPr="002F778D">
              <w:rPr>
                <w:b/>
                <w:bCs/>
              </w:rPr>
              <w:t>Przedmiot uwagi</w:t>
            </w:r>
          </w:p>
        </w:tc>
        <w:tc>
          <w:tcPr>
            <w:tcW w:w="3042" w:type="dxa"/>
            <w:shd w:val="clear" w:color="auto" w:fill="E8E8E8" w:themeFill="background2"/>
          </w:tcPr>
          <w:p w14:paraId="32C3ACAB" w14:textId="29E62D27" w:rsidR="00D12639" w:rsidRPr="00D12639" w:rsidRDefault="00D12639" w:rsidP="00D12639">
            <w:pPr>
              <w:spacing w:after="160" w:line="278" w:lineRule="auto"/>
              <w:jc w:val="center"/>
              <w:rPr>
                <w:b/>
                <w:bCs/>
              </w:rPr>
            </w:pPr>
            <w:r w:rsidRPr="00933E76">
              <w:rPr>
                <w:b/>
                <w:bCs/>
              </w:rPr>
              <w:t>Treść uwagi</w:t>
            </w:r>
          </w:p>
        </w:tc>
        <w:tc>
          <w:tcPr>
            <w:tcW w:w="4018" w:type="dxa"/>
            <w:shd w:val="clear" w:color="auto" w:fill="E8E8E8" w:themeFill="background2"/>
          </w:tcPr>
          <w:p w14:paraId="17C3F6A3" w14:textId="07EA034B" w:rsidR="00D12639" w:rsidRPr="00D12639" w:rsidRDefault="002F778D" w:rsidP="00D12639">
            <w:pPr>
              <w:spacing w:after="160" w:line="278" w:lineRule="auto"/>
              <w:jc w:val="center"/>
              <w:rPr>
                <w:b/>
                <w:bCs/>
              </w:rPr>
            </w:pPr>
            <w:r w:rsidRPr="002F778D">
              <w:rPr>
                <w:b/>
                <w:bCs/>
              </w:rPr>
              <w:t xml:space="preserve">Stanowisko </w:t>
            </w:r>
            <w:r w:rsidR="00EC31EF">
              <w:rPr>
                <w:b/>
                <w:bCs/>
              </w:rPr>
              <w:t xml:space="preserve">MS </w:t>
            </w:r>
            <w:r w:rsidRPr="002F778D">
              <w:rPr>
                <w:b/>
                <w:bCs/>
              </w:rPr>
              <w:t>co do uwagi/informacja o sposobie uzgodnienia uwagi</w:t>
            </w:r>
          </w:p>
        </w:tc>
      </w:tr>
      <w:tr w:rsidR="0080547F" w:rsidRPr="00D12639" w14:paraId="3BD7A733" w14:textId="77777777" w:rsidTr="0090290F">
        <w:tc>
          <w:tcPr>
            <w:tcW w:w="833" w:type="dxa"/>
          </w:tcPr>
          <w:p w14:paraId="019F2146" w14:textId="77777777" w:rsidR="0080547F" w:rsidRPr="00D12639" w:rsidRDefault="0080547F" w:rsidP="0080547F">
            <w:pPr>
              <w:numPr>
                <w:ilvl w:val="0"/>
                <w:numId w:val="1"/>
              </w:numPr>
            </w:pPr>
          </w:p>
        </w:tc>
        <w:tc>
          <w:tcPr>
            <w:tcW w:w="2423" w:type="dxa"/>
          </w:tcPr>
          <w:p w14:paraId="50CC2B6F" w14:textId="05C63307" w:rsidR="0080547F" w:rsidRPr="00DA3E66" w:rsidRDefault="0080547F" w:rsidP="0080547F">
            <w:pPr>
              <w:rPr>
                <w:b/>
                <w:bCs/>
              </w:rPr>
            </w:pPr>
            <w:proofErr w:type="spellStart"/>
            <w:r w:rsidRPr="00FC1FE4">
              <w:rPr>
                <w:b/>
                <w:bCs/>
              </w:rPr>
              <w:t>MFiG</w:t>
            </w:r>
            <w:proofErr w:type="spellEnd"/>
            <w:r w:rsidRPr="00FC1FE4">
              <w:rPr>
                <w:b/>
                <w:bCs/>
              </w:rPr>
              <w:t xml:space="preserve"> (MF)</w:t>
            </w:r>
          </w:p>
        </w:tc>
        <w:tc>
          <w:tcPr>
            <w:tcW w:w="2295" w:type="dxa"/>
          </w:tcPr>
          <w:p w14:paraId="43AB1339" w14:textId="24544BC8" w:rsidR="0080547F" w:rsidRPr="002C1AF8" w:rsidRDefault="0080547F" w:rsidP="0080547F">
            <w:r w:rsidRPr="002C1AF8">
              <w:t>art. 1 pkt 13 lit. b (art. 24 ust. 2b ustawy o KRS)</w:t>
            </w:r>
          </w:p>
        </w:tc>
        <w:tc>
          <w:tcPr>
            <w:tcW w:w="3042" w:type="dxa"/>
            <w:vAlign w:val="center"/>
          </w:tcPr>
          <w:p w14:paraId="4CE6CF24" w14:textId="77777777" w:rsidR="0080547F" w:rsidRPr="002C1AF8" w:rsidRDefault="0080547F" w:rsidP="0080547F">
            <w:pPr>
              <w:jc w:val="both"/>
              <w:rPr>
                <w:rFonts w:eastAsia="Open Sans Light" w:cs="Times New Roman"/>
                <w:b/>
              </w:rPr>
            </w:pPr>
            <w:r w:rsidRPr="002C1AF8">
              <w:rPr>
                <w:rFonts w:eastAsia="Open Sans Light" w:cs="Times New Roman"/>
                <w:bCs/>
              </w:rPr>
              <w:t xml:space="preserve">Zgodnie z art. 24 ust. 2b ustawy o Krajowym Rejestrze Sądowym sądy rejestrowe, po wpisie do Rejestru wzmianki o niewykonaniu przez podmiot obowiązku złożenia dokumentów finansowych pomimo wezwania sądu, niezwłocznie zawiadamiają naczelnika urzędu skarbowego właściwego według ostatniego ujawnionego w Rejestrze </w:t>
            </w:r>
            <w:r w:rsidRPr="002C1AF8">
              <w:rPr>
                <w:rFonts w:eastAsia="Open Sans Light" w:cs="Times New Roman"/>
                <w:bCs/>
              </w:rPr>
              <w:lastRenderedPageBreak/>
              <w:t xml:space="preserve">adresu siedziby podmiotu o popełnieniu czynu zabronionego, o którym mowa w art. 79 pkt 4 ustawy o rachunkowości, poprzez przesłanie za pośrednictwem systemu teleinformatycznego opatrzonej kwalifikowanym podpisem elektronicznym informacji o wpisie tej wzmianki. Zapis ten jest nieprecyzyjny, o dużym stopniu ogólności i powadzi do powstania wątpliwości w zakresie dotyczącym kwestii przesyłania ww. zawiadomień o popełnieniu przestępstwa za pośrednictwem systemu teleinformatycznego tylko wyłącznie do naczelników urzędów skarbowych. </w:t>
            </w:r>
            <w:r w:rsidRPr="002C1AF8">
              <w:rPr>
                <w:rFonts w:eastAsia="Open Sans Light" w:cs="Times New Roman"/>
                <w:b/>
              </w:rPr>
              <w:t xml:space="preserve">Zgodnie z par. 2 ust. 2a rozporządzenia Ministra Sprawiedliwości z dnia 22 września 2015 r. w sprawie organów uprawnionych obok Policji do prowadzenia dochodzeń </w:t>
            </w:r>
            <w:r w:rsidRPr="002C1AF8">
              <w:rPr>
                <w:rFonts w:eastAsia="Open Sans Light" w:cs="Times New Roman"/>
                <w:b/>
              </w:rPr>
              <w:lastRenderedPageBreak/>
              <w:t xml:space="preserve">oraz organów uprawnionych do wnoszenia i popierania oskarżenia przed sądem pierwszej instancji w sprawach, w których prowadzono dochodzenie, jak również zakresu spraw zleconych tym organom (Dz.U. z 2025 r. poz. 1027) właściwymi organami w sprawach m.in. o przestępstwa z art. 79 pkt 4 ustawy o rachunkowości są Policja oraz organy KAS, tj. naczelnik urzędu celno-skarbowego w sprawach z zakresu kontroli celnoskarbowej oraz naczelnik urzędu skarbowego. Sprawy te prowadzone są wyłącznie pod nadzorem prokuratora. Proponowany w przedmiotowym projekcie zapis kierowania zawiadomień o popełnieniu przestępstw </w:t>
            </w:r>
            <w:r w:rsidRPr="002C1AF8">
              <w:rPr>
                <w:rFonts w:eastAsia="Open Sans Light" w:cs="Times New Roman"/>
                <w:b/>
              </w:rPr>
              <w:lastRenderedPageBreak/>
              <w:t xml:space="preserve">w tych sprawach do naczelników urzędów skarbowych w praktyce spowoduje dalszy wzrost koncentracji tych spraw wyłącznie w organach KAS, co może mieć negatywny wpływ na realizowane przez finansowe organy postępowania przygotowawczego zadania w zakresie prowadzenia postępowań w sprawach o przestępstwa skarbowe i wykroczenia skarbowe, w tym przeciwko obowiązkom podatkowym. Natomiast przekazywanie przez sądy rejestrowe zawiadomień w tych sprawach do Policji lub prokuratury będzie incydentalne. W związku z powyższym proponowana treść przepisu art. 24 ust. 2b nie może być akceptowana. Omawiany przepis powinien </w:t>
            </w:r>
            <w:r w:rsidRPr="002C1AF8">
              <w:rPr>
                <w:rFonts w:eastAsia="Open Sans Light" w:cs="Times New Roman"/>
                <w:b/>
              </w:rPr>
              <w:lastRenderedPageBreak/>
              <w:t>uwzględniać przesyłanie ww. zawiadomień do Policji, Prokuratury i organów KAS.</w:t>
            </w:r>
            <w:r w:rsidRPr="002C1AF8">
              <w:rPr>
                <w:rFonts w:eastAsia="Open Sans Light" w:cs="Times New Roman"/>
                <w:bCs/>
              </w:rPr>
              <w:t xml:space="preserve"> Niezależnie od powyższego należy także zauważyć, że zgodnie z rozporządzeniem Ministra Rozwoju i Finansów z dnia 27 lutego 2017 r. w sprawie wyznaczenia organów Krajowej Administracji Skarbowej do wykonywania niektórych zadań Krajowej Administracji Skarbowej oraz określenia terytorialnego zasięgu ich działania (Dz.U. z 2019 r. poz. 2055, z </w:t>
            </w:r>
            <w:proofErr w:type="spellStart"/>
            <w:r w:rsidRPr="002C1AF8">
              <w:rPr>
                <w:rFonts w:eastAsia="Open Sans Light" w:cs="Times New Roman"/>
                <w:bCs/>
              </w:rPr>
              <w:t>późn</w:t>
            </w:r>
            <w:proofErr w:type="spellEnd"/>
            <w:r w:rsidRPr="002C1AF8">
              <w:rPr>
                <w:rFonts w:eastAsia="Open Sans Light" w:cs="Times New Roman"/>
                <w:bCs/>
              </w:rPr>
              <w:t xml:space="preserve">. zm.) w strukturach KAS funkcjonują wyznaczeni do prowadzenia postępowań przygotowawczych i występowania przed sądem naczelnicy urzędów skarbowych (jeden naczelnik urzędu skarbowego w województwie), w tym w sprawach o przestępstwa z ustawy o rachunkowości. </w:t>
            </w:r>
            <w:r w:rsidRPr="002C1AF8">
              <w:rPr>
                <w:rFonts w:eastAsia="Open Sans Light" w:cs="Times New Roman"/>
                <w:bCs/>
              </w:rPr>
              <w:lastRenderedPageBreak/>
              <w:t xml:space="preserve">Przyjęty zapis w tym przepisie powinien uwzględniać ww. właściwość wyznaczonych do prowadzenia postępowania przygotowawczego naczelników urzędów skarbowych. Ponadto proponowany przepis art. 24 ust. 2b ustawy o Krajowym Rejestrze Sądowym może budzić również wątpliwości w zakresie przekazywania zawiadomień o popełnieniu przestępstwa w kontekście obowiązującego przepisu art. 119 § 1 pkt 4 </w:t>
            </w:r>
            <w:proofErr w:type="spellStart"/>
            <w:r w:rsidRPr="002C1AF8">
              <w:rPr>
                <w:rFonts w:eastAsia="Open Sans Light" w:cs="Times New Roman"/>
                <w:bCs/>
              </w:rPr>
              <w:t>kpk</w:t>
            </w:r>
            <w:proofErr w:type="spellEnd"/>
            <w:r w:rsidRPr="002C1AF8">
              <w:rPr>
                <w:rFonts w:eastAsia="Open Sans Light" w:cs="Times New Roman"/>
                <w:bCs/>
              </w:rPr>
              <w:t xml:space="preserve"> w odniesieniu do formy podpisu składającego pismo, tj. jak wskazano w projektowanym przepisie - kwalifikowanego podpisu elektronicznego. Należy zauważyć, że przepisy dot. kwalifikowanego podpisu elektronicznego wchodzą w życie 1 marca 2026 r. </w:t>
            </w:r>
            <w:r w:rsidRPr="002C1AF8">
              <w:rPr>
                <w:rFonts w:eastAsia="Open Sans Light" w:cs="Times New Roman"/>
                <w:b/>
              </w:rPr>
              <w:t xml:space="preserve">Dodatkowo warto </w:t>
            </w:r>
            <w:r w:rsidRPr="002C1AF8">
              <w:rPr>
                <w:rFonts w:eastAsia="Open Sans Light" w:cs="Times New Roman"/>
                <w:b/>
              </w:rPr>
              <w:lastRenderedPageBreak/>
              <w:t xml:space="preserve">wskazać na przekazaną wcześniej do Ministerstwa Sprawiedliwości propozycję zmian w powyższym zakresie, przygotowaną przez Ministerstwo Finansów, zgodnie z którą zawiadomienia o popełnieniu przestępstwa z art. 79 pkt 4 ustawy o rachunkowości przekazywane byłyby po pełnym przeprowadzeniu postępowania przymuszającego i wyjaśnieniu okoliczności sprawy (np. śmierć członków organów zarządzających spółką, brak obowiązku składania do KRS sprawozdań finansowych w zależności od limitu obrotu lub przedawnienie karalności przestępstwa), co może skutkować brakiem podstaw do składania zawiadomienia o </w:t>
            </w:r>
            <w:r w:rsidRPr="002C1AF8">
              <w:rPr>
                <w:rFonts w:eastAsia="Open Sans Light" w:cs="Times New Roman"/>
                <w:b/>
              </w:rPr>
              <w:lastRenderedPageBreak/>
              <w:t>popełnieniu przestępstwa. Wspomniana propozycja dotyczyła dodania art. 24a w ustawie o Krajowym Rejestrze Sądowym w brzmieniu:</w:t>
            </w:r>
          </w:p>
          <w:p w14:paraId="150D451B" w14:textId="4DA56D6C" w:rsidR="0080547F" w:rsidRPr="002C1AF8" w:rsidRDefault="0080547F" w:rsidP="0080547F">
            <w:r w:rsidRPr="002C1AF8">
              <w:rPr>
                <w:rFonts w:eastAsia="Open Sans Light" w:cs="Times New Roman"/>
                <w:b/>
              </w:rPr>
              <w:t xml:space="preserve">„Art. 24a. Sąd rejestrowy, po przeprowadzeniu postępowania przymuszającego, o którym mowa w art. 24 ust. 1, przekazuje właściwemu organowi powołanemu do ścigania czynu zabronionego określonego w art. 79 pkt 4 ustawy z dnia 29 września 1994 r. o rachunkowości (Dz. U. z 2023 r. poz. 120, z </w:t>
            </w:r>
            <w:proofErr w:type="spellStart"/>
            <w:r w:rsidRPr="002C1AF8">
              <w:rPr>
                <w:rFonts w:eastAsia="Open Sans Light" w:cs="Times New Roman"/>
                <w:b/>
              </w:rPr>
              <w:t>późn</w:t>
            </w:r>
            <w:proofErr w:type="spellEnd"/>
            <w:r w:rsidRPr="002C1AF8">
              <w:rPr>
                <w:rFonts w:eastAsia="Open Sans Light" w:cs="Times New Roman"/>
                <w:b/>
              </w:rPr>
              <w:t>. zm.) zawiadomienie o podejrzeniu popełnienia tego czynu wraz z dokumentacją dotyczącą tego postępowania. ".</w:t>
            </w:r>
          </w:p>
        </w:tc>
        <w:tc>
          <w:tcPr>
            <w:tcW w:w="4018" w:type="dxa"/>
          </w:tcPr>
          <w:p w14:paraId="794F305E" w14:textId="4DEC6757" w:rsidR="0080547F" w:rsidRPr="0080547F" w:rsidRDefault="0080547F" w:rsidP="0080547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lang w:eastAsia="pl-PL"/>
              </w:rPr>
            </w:pPr>
            <w:r w:rsidRPr="0080547F">
              <w:rPr>
                <w:rFonts w:eastAsia="Times New Roman" w:cs="Times New Roman"/>
                <w:b/>
                <w:lang w:eastAsia="pl-PL"/>
              </w:rPr>
              <w:lastRenderedPageBreak/>
              <w:t>Uwaga częściowo uwzględniona</w:t>
            </w:r>
            <w:r w:rsidR="00E16796">
              <w:rPr>
                <w:rFonts w:eastAsia="Times New Roman" w:cs="Times New Roman"/>
                <w:b/>
                <w:lang w:eastAsia="pl-PL"/>
              </w:rPr>
              <w:t xml:space="preserve">, </w:t>
            </w:r>
            <w:r w:rsidR="00E16796">
              <w:rPr>
                <w:rFonts w:eastAsia="Times New Roman" w:cs="Times New Roman"/>
                <w:b/>
                <w:lang w:eastAsia="pl-PL"/>
              </w:rPr>
              <w:br/>
              <w:t xml:space="preserve">a </w:t>
            </w:r>
            <w:r w:rsidR="00537BCF">
              <w:rPr>
                <w:rFonts w:eastAsia="Times New Roman" w:cs="Times New Roman"/>
                <w:b/>
                <w:lang w:eastAsia="pl-PL"/>
              </w:rPr>
              <w:t xml:space="preserve">w </w:t>
            </w:r>
            <w:r w:rsidR="00E16796">
              <w:rPr>
                <w:rFonts w:eastAsia="Times New Roman" w:cs="Times New Roman"/>
                <w:b/>
                <w:lang w:eastAsia="pl-PL"/>
              </w:rPr>
              <w:t xml:space="preserve">pozostałym zakresie nie uwzględniona </w:t>
            </w:r>
          </w:p>
          <w:p w14:paraId="4C232F7E" w14:textId="77777777" w:rsidR="0080547F" w:rsidRPr="0080547F" w:rsidRDefault="0080547F" w:rsidP="0080547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lang w:eastAsia="pl-PL"/>
              </w:rPr>
            </w:pPr>
          </w:p>
          <w:p w14:paraId="6DFF7723" w14:textId="77777777" w:rsidR="0080547F" w:rsidRPr="0080547F" w:rsidRDefault="0080547F" w:rsidP="0080547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80547F">
              <w:rPr>
                <w:rFonts w:eastAsia="Times New Roman" w:cs="Times New Roman"/>
                <w:bCs/>
                <w:lang w:eastAsia="pl-PL"/>
              </w:rPr>
              <w:t xml:space="preserve">Dokonano zmiany brzmienia przepisu – zrezygnowano z obligatoryjnej komunikacji z urzędami skarbowymi za pośrednictwem systemu teleinformatycznego oraz posłużono się sformułowaniem, iż sąd rejestrowy zawiadamia „właściwy organ Krajowej Administracji Skarbowej”. Sąd rejestrowy na podstawie obowiązujących </w:t>
            </w:r>
            <w:r w:rsidRPr="0080547F">
              <w:rPr>
                <w:rFonts w:eastAsia="Times New Roman" w:cs="Times New Roman"/>
                <w:bCs/>
                <w:lang w:eastAsia="pl-PL"/>
              </w:rPr>
              <w:lastRenderedPageBreak/>
              <w:t>przepisów, w tym przede wszystkim rozporządzenia Ministra Rozwoju i Finansów z dnia 27 lutego 2017 r. w sprawie wyznaczenia organów Krajowej Administracji Skarbowej do wykonywania niektórych zadań Krajowej Administracji Skarbowej oraz określenia terytorialnego zasięgu ich działania (Dz. U. poz. 448 oraz z 2023 r. poz. 2815), samodzielnie będzie musiał ustalić, który organ KAS jest rzeczowo i miejscowo właściwy.</w:t>
            </w:r>
          </w:p>
          <w:p w14:paraId="7C8A769E" w14:textId="77777777" w:rsidR="0080547F" w:rsidRPr="0080547F" w:rsidRDefault="0080547F" w:rsidP="0080547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80547F">
              <w:rPr>
                <w:rFonts w:eastAsia="Times New Roman" w:cs="Times New Roman"/>
                <w:bCs/>
                <w:lang w:eastAsia="pl-PL"/>
              </w:rPr>
              <w:t xml:space="preserve">W pozostałym zakresie należy wyjaśnić, że jak wskazano w uzasadnieniu do projektu, rozpoznawanie, wykrywanie i zwalczanie przestępstw określonych w ustawie o rachunkowości, zapobieganie tym przestępstwom oraz ściganie ich sprawców należy, zgodnie z art. 28 ust. 1 pkt 11 ustawy z dnia 16 listopada 2016 r. o Krajowej Administracji Skarbowej do zadań naczelnika urzędu skarbowego. To ten organ jest zatem co do zasady właściwy do prowadzenia dochodzenia, w przypadku podejrzenia popełnienia czynu </w:t>
            </w:r>
            <w:r w:rsidRPr="0080547F">
              <w:rPr>
                <w:rFonts w:eastAsia="Times New Roman" w:cs="Times New Roman"/>
                <w:bCs/>
                <w:lang w:eastAsia="pl-PL"/>
              </w:rPr>
              <w:lastRenderedPageBreak/>
              <w:t>zabronionego z art. 79 pkt 4 ustawy o rachunkowości.</w:t>
            </w:r>
          </w:p>
          <w:p w14:paraId="66F583CE" w14:textId="0CCA96EE" w:rsidR="0080547F" w:rsidRPr="0080547F" w:rsidRDefault="0080547F" w:rsidP="0080547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80547F">
              <w:rPr>
                <w:rFonts w:eastAsia="Times New Roman" w:cs="Times New Roman"/>
                <w:bCs/>
                <w:lang w:eastAsia="pl-PL"/>
              </w:rPr>
              <w:t xml:space="preserve">Potencjalne ryzyko obciążenia pracą naczelników urzędów skarbowych nie jest argumentem uzasadniającym zmianę projektowanego przepisu. Należy podkreślić, że na spotkaniach z MF wskazywano, że projektowane przepisy zakładają, że do chwili wykreślenia wzmianki o niewykonywaniu obowiązku złożenia dokumentów finansowych pomimo wezwania sądu nie wszczyna się kolejnych postępowań przymuszających do złożenia dokumentów finansowych. Zatem naczelnik urzędu skarbowego będzie zawiadamiany tylko o wpisaniu tej jednej wzmianki, nie będą bowiem wszczynane kolejne postępowania przymuszające do złożenia dokumentów finansowych po jej wpisaniu i w związku z tym wpisywane kolejne wzmianki.  Należy również podkreślić, że projekt zakłada również zmianę art. 25a i dodanie kolejnej przesłanki do wszczęcia postępowania o rozwiązanie podmiotu bez </w:t>
            </w:r>
            <w:r w:rsidRPr="0080547F">
              <w:rPr>
                <w:rFonts w:eastAsia="Times New Roman" w:cs="Times New Roman"/>
                <w:bCs/>
                <w:lang w:eastAsia="pl-PL"/>
              </w:rPr>
              <w:lastRenderedPageBreak/>
              <w:t xml:space="preserve">przeprowadzania postępowania </w:t>
            </w:r>
            <w:r w:rsidR="007579EF" w:rsidRPr="0080547F">
              <w:rPr>
                <w:rFonts w:eastAsia="Times New Roman" w:cs="Times New Roman"/>
                <w:bCs/>
                <w:lang w:eastAsia="pl-PL"/>
              </w:rPr>
              <w:t>likwidacyjnego,</w:t>
            </w:r>
            <w:r w:rsidRPr="0080547F">
              <w:rPr>
                <w:rFonts w:eastAsia="Times New Roman" w:cs="Times New Roman"/>
                <w:bCs/>
                <w:lang w:eastAsia="pl-PL"/>
              </w:rPr>
              <w:t xml:space="preserve"> jeżeli mimo upływu roku od dnia wpisania do Rejestru wzmianki o niewykonywaniu obowiązku złożenia dokumentów finansowych pomimo wezwania sądu, nie zostały złożone wszystkie zaległe dokumenty finansowe, w tym także te, których obowiązek złożenia powstał po wpisie tej wzmianki. Powyższe ma na celu eliminację tzw. martwych podmiotów z KRS. </w:t>
            </w:r>
          </w:p>
          <w:p w14:paraId="73CE7224" w14:textId="77777777" w:rsidR="0080547F" w:rsidRPr="0080547F" w:rsidRDefault="0080547F" w:rsidP="0080547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80547F">
              <w:rPr>
                <w:rFonts w:eastAsia="Times New Roman" w:cs="Times New Roman"/>
                <w:bCs/>
                <w:lang w:eastAsia="pl-PL"/>
              </w:rPr>
              <w:t xml:space="preserve">Odnosząc się do przedstawionej przez MF propozycji zmiany przepisu należy wskazać, że nie może zostać ona uwzględniona. Uzależnienie zawiadomienia przez sąd rejestrowy urzędu skarbowego od zakończenia postępowania przymuszającego w praktyce oznaczałoby, że sądy przez miesiące, a może nawet lata nie przekazywałyby takiej informacji. Jak wynika bowiem z praktyki sądów rejestrowych, potwierdzonej statystykami dotyczącymi postępowań przymuszających, w tym do złożenia dokumentów finansowych, postępowania te są długotrwałe m.in. z uwagi na egzekucję nałożonej grzywny. </w:t>
            </w:r>
            <w:r w:rsidRPr="0080547F">
              <w:rPr>
                <w:rFonts w:eastAsia="Times New Roman" w:cs="Times New Roman"/>
                <w:bCs/>
                <w:lang w:eastAsia="pl-PL"/>
              </w:rPr>
              <w:lastRenderedPageBreak/>
              <w:t xml:space="preserve">Powyższe oznaczałoby naruszenie przez sąd obowiązku wynikającego z art. 304 </w:t>
            </w:r>
            <w:proofErr w:type="spellStart"/>
            <w:r w:rsidRPr="0080547F">
              <w:rPr>
                <w:rFonts w:eastAsia="Times New Roman" w:cs="Times New Roman"/>
                <w:bCs/>
                <w:lang w:eastAsia="pl-PL"/>
              </w:rPr>
              <w:t>kpk</w:t>
            </w:r>
            <w:proofErr w:type="spellEnd"/>
            <w:r w:rsidRPr="0080547F">
              <w:rPr>
                <w:rFonts w:eastAsia="Times New Roman" w:cs="Times New Roman"/>
                <w:bCs/>
                <w:lang w:eastAsia="pl-PL"/>
              </w:rPr>
              <w:t>.</w:t>
            </w:r>
          </w:p>
          <w:p w14:paraId="3920D6A7" w14:textId="52AB3CAC" w:rsidR="0080547F" w:rsidRPr="0080547F" w:rsidRDefault="0080547F" w:rsidP="0080547F">
            <w:pPr>
              <w:rPr>
                <w:bCs/>
              </w:rPr>
            </w:pPr>
          </w:p>
        </w:tc>
      </w:tr>
    </w:tbl>
    <w:p w14:paraId="1A8AFF5B" w14:textId="77777777" w:rsidR="009F096E" w:rsidRDefault="009F096E"/>
    <w:sectPr w:rsidR="009F096E" w:rsidSect="00D126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B7FE6"/>
    <w:multiLevelType w:val="hybridMultilevel"/>
    <w:tmpl w:val="FB1C22C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71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639"/>
    <w:rsid w:val="00013BCA"/>
    <w:rsid w:val="000400CF"/>
    <w:rsid w:val="000415D7"/>
    <w:rsid w:val="0004278C"/>
    <w:rsid w:val="00044663"/>
    <w:rsid w:val="000619F5"/>
    <w:rsid w:val="00082301"/>
    <w:rsid w:val="00086012"/>
    <w:rsid w:val="00091AC4"/>
    <w:rsid w:val="000B6D72"/>
    <w:rsid w:val="000C13AD"/>
    <w:rsid w:val="000E4F3A"/>
    <w:rsid w:val="000F108B"/>
    <w:rsid w:val="000F24DA"/>
    <w:rsid w:val="00115A70"/>
    <w:rsid w:val="00124E37"/>
    <w:rsid w:val="00135AC8"/>
    <w:rsid w:val="00137F1D"/>
    <w:rsid w:val="00151744"/>
    <w:rsid w:val="001538F5"/>
    <w:rsid w:val="00171F67"/>
    <w:rsid w:val="00173F8A"/>
    <w:rsid w:val="001945BE"/>
    <w:rsid w:val="001A3E9E"/>
    <w:rsid w:val="001C2D95"/>
    <w:rsid w:val="001E2DE1"/>
    <w:rsid w:val="001E7203"/>
    <w:rsid w:val="00201C3E"/>
    <w:rsid w:val="00224F63"/>
    <w:rsid w:val="002437C7"/>
    <w:rsid w:val="00245561"/>
    <w:rsid w:val="002459C6"/>
    <w:rsid w:val="00296CE0"/>
    <w:rsid w:val="002A69C0"/>
    <w:rsid w:val="002B318A"/>
    <w:rsid w:val="002C1AF8"/>
    <w:rsid w:val="002F778D"/>
    <w:rsid w:val="0030009D"/>
    <w:rsid w:val="0030076F"/>
    <w:rsid w:val="00313B13"/>
    <w:rsid w:val="00344FA8"/>
    <w:rsid w:val="003703D6"/>
    <w:rsid w:val="003770A9"/>
    <w:rsid w:val="00380F60"/>
    <w:rsid w:val="003953CC"/>
    <w:rsid w:val="003C22E1"/>
    <w:rsid w:val="003D2F10"/>
    <w:rsid w:val="003D411E"/>
    <w:rsid w:val="003D5CF6"/>
    <w:rsid w:val="003E7386"/>
    <w:rsid w:val="003F19A7"/>
    <w:rsid w:val="00427CA5"/>
    <w:rsid w:val="0043083B"/>
    <w:rsid w:val="00434AD8"/>
    <w:rsid w:val="004354CE"/>
    <w:rsid w:val="00453034"/>
    <w:rsid w:val="00466F65"/>
    <w:rsid w:val="00466FBC"/>
    <w:rsid w:val="00473A7A"/>
    <w:rsid w:val="00490EDD"/>
    <w:rsid w:val="00496690"/>
    <w:rsid w:val="00497862"/>
    <w:rsid w:val="004C2D78"/>
    <w:rsid w:val="005003DF"/>
    <w:rsid w:val="005354D2"/>
    <w:rsid w:val="00537BCF"/>
    <w:rsid w:val="00554A4B"/>
    <w:rsid w:val="005715AC"/>
    <w:rsid w:val="00585121"/>
    <w:rsid w:val="00585972"/>
    <w:rsid w:val="005945F8"/>
    <w:rsid w:val="005A6EBC"/>
    <w:rsid w:val="005C08A0"/>
    <w:rsid w:val="005C5909"/>
    <w:rsid w:val="005D6A0A"/>
    <w:rsid w:val="005E13B4"/>
    <w:rsid w:val="005E2149"/>
    <w:rsid w:val="00606B87"/>
    <w:rsid w:val="006156EF"/>
    <w:rsid w:val="00623782"/>
    <w:rsid w:val="0063503C"/>
    <w:rsid w:val="0064585E"/>
    <w:rsid w:val="00665D8A"/>
    <w:rsid w:val="00687A1C"/>
    <w:rsid w:val="006A134C"/>
    <w:rsid w:val="006A33B3"/>
    <w:rsid w:val="006D0C98"/>
    <w:rsid w:val="006F4457"/>
    <w:rsid w:val="00716ED0"/>
    <w:rsid w:val="00722948"/>
    <w:rsid w:val="00751779"/>
    <w:rsid w:val="007579EF"/>
    <w:rsid w:val="00760285"/>
    <w:rsid w:val="0079719C"/>
    <w:rsid w:val="007A57DF"/>
    <w:rsid w:val="007D3E8D"/>
    <w:rsid w:val="007E14A3"/>
    <w:rsid w:val="00803A31"/>
    <w:rsid w:val="0080547F"/>
    <w:rsid w:val="00814617"/>
    <w:rsid w:val="00815F7B"/>
    <w:rsid w:val="00821D8F"/>
    <w:rsid w:val="00841F2A"/>
    <w:rsid w:val="008444DB"/>
    <w:rsid w:val="00847798"/>
    <w:rsid w:val="00857E13"/>
    <w:rsid w:val="008620EF"/>
    <w:rsid w:val="00862AB4"/>
    <w:rsid w:val="00886F78"/>
    <w:rsid w:val="008902AD"/>
    <w:rsid w:val="00893C8F"/>
    <w:rsid w:val="008967BD"/>
    <w:rsid w:val="008B3301"/>
    <w:rsid w:val="008C20CA"/>
    <w:rsid w:val="008C4B8A"/>
    <w:rsid w:val="00906B4E"/>
    <w:rsid w:val="00912610"/>
    <w:rsid w:val="00913371"/>
    <w:rsid w:val="00916FE5"/>
    <w:rsid w:val="00970248"/>
    <w:rsid w:val="009720B3"/>
    <w:rsid w:val="0098397A"/>
    <w:rsid w:val="00984F8B"/>
    <w:rsid w:val="009A0546"/>
    <w:rsid w:val="009A5413"/>
    <w:rsid w:val="009D28F4"/>
    <w:rsid w:val="009E32F1"/>
    <w:rsid w:val="009F096E"/>
    <w:rsid w:val="00A0045A"/>
    <w:rsid w:val="00A11F81"/>
    <w:rsid w:val="00A34051"/>
    <w:rsid w:val="00A34B45"/>
    <w:rsid w:val="00A419EC"/>
    <w:rsid w:val="00A92699"/>
    <w:rsid w:val="00AB13A5"/>
    <w:rsid w:val="00AD1AC1"/>
    <w:rsid w:val="00AE7436"/>
    <w:rsid w:val="00AF7A26"/>
    <w:rsid w:val="00B17908"/>
    <w:rsid w:val="00B24074"/>
    <w:rsid w:val="00B30AF2"/>
    <w:rsid w:val="00B33A0D"/>
    <w:rsid w:val="00B443C8"/>
    <w:rsid w:val="00B63420"/>
    <w:rsid w:val="00B77D68"/>
    <w:rsid w:val="00B8087F"/>
    <w:rsid w:val="00BB2CDC"/>
    <w:rsid w:val="00BB6550"/>
    <w:rsid w:val="00BB661F"/>
    <w:rsid w:val="00BC0C6D"/>
    <w:rsid w:val="00BE1111"/>
    <w:rsid w:val="00BE3882"/>
    <w:rsid w:val="00C22119"/>
    <w:rsid w:val="00C23CA1"/>
    <w:rsid w:val="00C2707E"/>
    <w:rsid w:val="00C310B3"/>
    <w:rsid w:val="00C34042"/>
    <w:rsid w:val="00C41B1F"/>
    <w:rsid w:val="00C57E75"/>
    <w:rsid w:val="00C61A2C"/>
    <w:rsid w:val="00C643F5"/>
    <w:rsid w:val="00C64656"/>
    <w:rsid w:val="00C71930"/>
    <w:rsid w:val="00C91027"/>
    <w:rsid w:val="00CA23EE"/>
    <w:rsid w:val="00CA4AF0"/>
    <w:rsid w:val="00CD6951"/>
    <w:rsid w:val="00CE03B8"/>
    <w:rsid w:val="00CE4282"/>
    <w:rsid w:val="00D066A7"/>
    <w:rsid w:val="00D10B32"/>
    <w:rsid w:val="00D12639"/>
    <w:rsid w:val="00D1396D"/>
    <w:rsid w:val="00D14DD5"/>
    <w:rsid w:val="00D554AB"/>
    <w:rsid w:val="00D714C0"/>
    <w:rsid w:val="00D8163E"/>
    <w:rsid w:val="00D94C58"/>
    <w:rsid w:val="00DA3E66"/>
    <w:rsid w:val="00DA5D25"/>
    <w:rsid w:val="00DB0E15"/>
    <w:rsid w:val="00DD2DBB"/>
    <w:rsid w:val="00DD4820"/>
    <w:rsid w:val="00DE24AE"/>
    <w:rsid w:val="00DE2BED"/>
    <w:rsid w:val="00DE77F7"/>
    <w:rsid w:val="00DE7EFD"/>
    <w:rsid w:val="00DF6797"/>
    <w:rsid w:val="00E11557"/>
    <w:rsid w:val="00E125B3"/>
    <w:rsid w:val="00E16796"/>
    <w:rsid w:val="00E20992"/>
    <w:rsid w:val="00E209AE"/>
    <w:rsid w:val="00E27C7D"/>
    <w:rsid w:val="00E35EDF"/>
    <w:rsid w:val="00E3672F"/>
    <w:rsid w:val="00E57EB1"/>
    <w:rsid w:val="00E75F68"/>
    <w:rsid w:val="00E83552"/>
    <w:rsid w:val="00E854BF"/>
    <w:rsid w:val="00E9067D"/>
    <w:rsid w:val="00E92BE9"/>
    <w:rsid w:val="00E97BFE"/>
    <w:rsid w:val="00EA1D9B"/>
    <w:rsid w:val="00EB192E"/>
    <w:rsid w:val="00EC31EF"/>
    <w:rsid w:val="00EC6BCC"/>
    <w:rsid w:val="00ED642A"/>
    <w:rsid w:val="00EE6FD3"/>
    <w:rsid w:val="00EE7506"/>
    <w:rsid w:val="00EF1231"/>
    <w:rsid w:val="00F046C8"/>
    <w:rsid w:val="00F14679"/>
    <w:rsid w:val="00F22D8E"/>
    <w:rsid w:val="00F42707"/>
    <w:rsid w:val="00F46D86"/>
    <w:rsid w:val="00F51E54"/>
    <w:rsid w:val="00F57C38"/>
    <w:rsid w:val="00F65A5C"/>
    <w:rsid w:val="00F72E07"/>
    <w:rsid w:val="00FC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026C"/>
  <w15:chartTrackingRefBased/>
  <w15:docId w15:val="{4EB7C03B-F967-461B-B401-81AACB9F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951"/>
  </w:style>
  <w:style w:type="paragraph" w:styleId="Nagwek1">
    <w:name w:val="heading 1"/>
    <w:basedOn w:val="Normalny"/>
    <w:next w:val="Normalny"/>
    <w:link w:val="Nagwek1Znak"/>
    <w:uiPriority w:val="9"/>
    <w:qFormat/>
    <w:rsid w:val="00D126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6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6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6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6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6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6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6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6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6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6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6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6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6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6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6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6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6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6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6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6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6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6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6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6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6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6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63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12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715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70D3B-35F7-41E0-B2DC-99B060AA9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1174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Ulak Tomasz  (DL)</dc:creator>
  <cp:keywords/>
  <dc:description/>
  <cp:lastModifiedBy>Autor</cp:lastModifiedBy>
  <cp:revision>2</cp:revision>
  <dcterms:created xsi:type="dcterms:W3CDTF">2026-04-01T11:09:00Z</dcterms:created>
  <dcterms:modified xsi:type="dcterms:W3CDTF">2026-04-01T11:09:00Z</dcterms:modified>
</cp:coreProperties>
</file>